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F40E49">
        <w:trPr>
          <w:jc w:val="center"/>
        </w:trPr>
        <w:tc>
          <w:tcPr>
            <w:tcW w:w="9016" w:type="dxa"/>
            <w:shd w:val="clear" w:color="auto" w:fill="7030A0"/>
          </w:tcPr>
          <w:p w14:paraId="495F7C76" w14:textId="379EBE16" w:rsidR="004A0496" w:rsidRPr="004A0496" w:rsidRDefault="00C35F37"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 xml:space="preserve">FAITH-BASED </w:t>
            </w:r>
            <w:r w:rsidR="00FD2457">
              <w:rPr>
                <w:rFonts w:ascii="Palatino Linotype" w:hAnsi="Palatino Linotype" w:cs="Arial"/>
                <w:b/>
                <w:color w:val="FFFFFF" w:themeColor="background1"/>
                <w:sz w:val="28"/>
                <w:szCs w:val="28"/>
              </w:rPr>
              <w:t>ORGANIZATIONS</w:t>
            </w:r>
            <w:r w:rsidR="000C674B">
              <w:rPr>
                <w:rFonts w:ascii="Palatino Linotype" w:hAnsi="Palatino Linotype" w:cs="Arial"/>
                <w:b/>
                <w:color w:val="FFFFFF" w:themeColor="background1"/>
                <w:sz w:val="28"/>
                <w:szCs w:val="28"/>
              </w:rPr>
              <w:t xml:space="preserve"> (</w:t>
            </w:r>
            <w:r>
              <w:rPr>
                <w:rFonts w:ascii="Palatino Linotype" w:hAnsi="Palatino Linotype" w:cs="Arial"/>
                <w:b/>
                <w:color w:val="FFFFFF" w:themeColor="background1"/>
                <w:sz w:val="28"/>
                <w:szCs w:val="28"/>
              </w:rPr>
              <w:t>FBO</w:t>
            </w:r>
            <w:r w:rsidR="000C674B">
              <w:rPr>
                <w:rFonts w:ascii="Palatino Linotype" w:hAnsi="Palatino Linotype" w:cs="Arial"/>
                <w:b/>
                <w:color w:val="FFFFFF" w:themeColor="background1"/>
                <w:sz w:val="28"/>
                <w:szCs w:val="28"/>
              </w:rPr>
              <w:t>s)</w:t>
            </w:r>
          </w:p>
        </w:tc>
      </w:tr>
    </w:tbl>
    <w:p w14:paraId="1B574183" w14:textId="77777777" w:rsidR="004A0496" w:rsidRPr="004A0496" w:rsidRDefault="004A0496" w:rsidP="00201DE0">
      <w:pPr>
        <w:jc w:val="center"/>
        <w:rPr>
          <w:rFonts w:ascii="Palatino Linotype" w:hAnsi="Palatino Linotype" w:cs="Arial"/>
          <w:b/>
          <w:sz w:val="28"/>
          <w:szCs w:val="28"/>
        </w:rPr>
      </w:pPr>
    </w:p>
    <w:p w14:paraId="7FA2679F" w14:textId="77777777" w:rsidR="0015115D" w:rsidRPr="004F0EB1" w:rsidRDefault="0015115D" w:rsidP="0015115D">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146E40C4" w14:textId="7F31D8BD" w:rsidR="0015115D" w:rsidRPr="004F0EB1" w:rsidRDefault="0096671B" w:rsidP="0015115D">
      <w:pPr>
        <w:jc w:val="center"/>
        <w:rPr>
          <w:rFonts w:ascii="Palatino Linotype" w:hAnsi="Palatino Linotype" w:cs="Times New Roman"/>
          <w:b/>
          <w:sz w:val="28"/>
          <w:szCs w:val="28"/>
        </w:rPr>
      </w:pPr>
      <w:r>
        <w:rPr>
          <w:rFonts w:ascii="Palatino Linotype" w:hAnsi="Palatino Linotype" w:cs="Times New Roman"/>
          <w:b/>
          <w:sz w:val="28"/>
          <w:szCs w:val="28"/>
        </w:rPr>
        <w:t>2024</w:t>
      </w:r>
      <w:r w:rsidR="0015115D" w:rsidRPr="004F0EB1">
        <w:rPr>
          <w:rFonts w:ascii="Palatino Linotype" w:hAnsi="Palatino Linotype" w:cs="Times New Roman"/>
          <w:b/>
          <w:sz w:val="28"/>
          <w:szCs w:val="28"/>
        </w:rPr>
        <w:t xml:space="preserve"> MONITORING AND EVALUATION FRAMEWORK FOR DATA COLLECTION AND REPORTING </w:t>
      </w:r>
    </w:p>
    <w:p w14:paraId="64B7585F" w14:textId="77777777" w:rsidR="0015115D" w:rsidRPr="004F0EB1" w:rsidRDefault="0015115D" w:rsidP="0015115D">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68C6250D" w14:textId="77777777" w:rsidR="0015115D" w:rsidRPr="004F0EB1" w:rsidRDefault="0015115D" w:rsidP="0015115D">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14885D2F" w14:textId="77777777"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4E6B9869" w14:textId="77777777"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10C2C0CD" w14:textId="77777777" w:rsidR="0015115D" w:rsidRPr="004F0EB1" w:rsidRDefault="0015115D" w:rsidP="0015115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1A6B24FC" w14:textId="77777777" w:rsidR="0015115D" w:rsidRPr="004F0EB1" w:rsidRDefault="0015115D" w:rsidP="0015115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1B7686FB" w14:textId="77777777" w:rsidR="0015115D" w:rsidRPr="004F0EB1" w:rsidRDefault="0015115D" w:rsidP="0015115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2D24FDD6" w14:textId="44633430"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96671B">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134488">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7F2ACC7C" w14:textId="77777777"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27F3B7C5" w14:textId="77777777" w:rsidR="0015115D" w:rsidRPr="004F0EB1" w:rsidRDefault="0015115D" w:rsidP="0015115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4BDDCAD2" w14:textId="2CD5EB62" w:rsidR="0015115D" w:rsidRPr="004F0EB1" w:rsidRDefault="0015115D" w:rsidP="0015115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134488">
        <w:rPr>
          <w:rFonts w:ascii="Palatino Linotype" w:hAnsi="Palatino Linotype" w:cs="Times New Roman"/>
          <w:b/>
          <w:sz w:val="28"/>
          <w:szCs w:val="28"/>
        </w:rPr>
        <w:t>s</w:t>
      </w:r>
    </w:p>
    <w:p w14:paraId="16BAB45B" w14:textId="5FB162F1" w:rsidR="0015115D" w:rsidRPr="004F0EB1" w:rsidRDefault="00DB2B8C" w:rsidP="0015115D">
      <w:pPr>
        <w:spacing w:before="240" w:line="276" w:lineRule="auto"/>
        <w:jc w:val="both"/>
        <w:rPr>
          <w:rFonts w:ascii="Palatino Linotype" w:hAnsi="Palatino Linotype" w:cs="Times New Roman"/>
          <w:sz w:val="28"/>
          <w:szCs w:val="28"/>
        </w:rPr>
      </w:pPr>
      <w:r w:rsidRPr="00DB2B8C">
        <w:rPr>
          <w:rFonts w:ascii="Palatino Linotype" w:hAnsi="Palatino Linotype" w:cs="Times New Roman"/>
          <w:sz w:val="28"/>
          <w:szCs w:val="28"/>
        </w:rPr>
        <w:t xml:space="preserve">The General roles are </w:t>
      </w:r>
      <w:r w:rsidR="0015115D" w:rsidRPr="004F0EB1">
        <w:rPr>
          <w:rFonts w:ascii="Palatino Linotype" w:hAnsi="Palatino Linotype" w:cs="Times New Roman"/>
          <w:sz w:val="28"/>
          <w:szCs w:val="28"/>
        </w:rPr>
        <w:t xml:space="preserve">designed for implementation and reporting by </w:t>
      </w:r>
      <w:r w:rsidR="0015115D" w:rsidRPr="004F0EB1">
        <w:rPr>
          <w:rFonts w:ascii="Palatino Linotype" w:hAnsi="Palatino Linotype" w:cs="Times New Roman"/>
          <w:b/>
          <w:sz w:val="28"/>
          <w:szCs w:val="28"/>
        </w:rPr>
        <w:t>ALL</w:t>
      </w:r>
      <w:r w:rsidR="0015115D" w:rsidRPr="004F0EB1">
        <w:rPr>
          <w:rFonts w:ascii="Palatino Linotype" w:hAnsi="Palatino Linotype" w:cs="Times New Roman"/>
          <w:sz w:val="28"/>
          <w:szCs w:val="28"/>
        </w:rPr>
        <w:t xml:space="preserve"> Implementing Partners (IPs), including public sector organizations, private sector and not-for-profit organizations. </w:t>
      </w:r>
    </w:p>
    <w:p w14:paraId="13A5C746" w14:textId="77777777" w:rsidR="0015115D" w:rsidRPr="004F0EB1" w:rsidRDefault="0015115D" w:rsidP="0015115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59DA9574" w14:textId="77777777"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1A478DB" w14:textId="77777777" w:rsidR="0015115D"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0DBD2AC0" w14:textId="77777777" w:rsidR="0015115D" w:rsidRPr="004F0EB1" w:rsidRDefault="0015115D" w:rsidP="0015115D">
      <w:pPr>
        <w:spacing w:before="240" w:line="276" w:lineRule="auto"/>
        <w:jc w:val="both"/>
        <w:rPr>
          <w:rFonts w:ascii="Palatino Linotype" w:hAnsi="Palatino Linotype" w:cs="Times New Roman"/>
          <w:sz w:val="28"/>
          <w:szCs w:val="28"/>
        </w:rPr>
      </w:pPr>
    </w:p>
    <w:p w14:paraId="2D1DBC47" w14:textId="045DEF98" w:rsidR="0015115D" w:rsidRPr="004F0EB1" w:rsidRDefault="0015115D" w:rsidP="0015115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96671B">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68CCAFEE" w14:textId="5BEF520D" w:rsidR="0015115D" w:rsidRPr="004F0EB1" w:rsidRDefault="0015115D" w:rsidP="0015115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96671B">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0F8629E3" w14:textId="77777777" w:rsidR="0015115D" w:rsidRPr="004F0EB1" w:rsidRDefault="0015115D" w:rsidP="0015115D">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29019693" w14:textId="77777777" w:rsidR="0015115D" w:rsidRPr="004F0EB1" w:rsidRDefault="0015115D" w:rsidP="0015115D">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3CFA4637" w14:textId="77777777" w:rsidR="0015115D" w:rsidRPr="004F0EB1" w:rsidRDefault="0015115D" w:rsidP="0015115D">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68648A63" w14:textId="77777777" w:rsidR="0015115D" w:rsidRPr="004F0EB1" w:rsidRDefault="0015115D" w:rsidP="0015115D">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741DF312" w14:textId="77777777" w:rsidR="0015115D" w:rsidRPr="004F0EB1" w:rsidRDefault="0015115D" w:rsidP="0015115D">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3C02E416" w14:textId="77777777" w:rsidR="0015115D" w:rsidRDefault="0015115D" w:rsidP="0015115D">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55F50538" w14:textId="77777777" w:rsidR="0015115D" w:rsidRPr="00697A5B" w:rsidRDefault="0015115D" w:rsidP="0015115D">
      <w:pPr>
        <w:spacing w:line="360" w:lineRule="auto"/>
        <w:jc w:val="both"/>
        <w:rPr>
          <w:rFonts w:ascii="Palatino Linotype" w:hAnsi="Palatino Linotype" w:cs="Times New Roman"/>
          <w:sz w:val="28"/>
          <w:szCs w:val="28"/>
        </w:rPr>
      </w:pPr>
    </w:p>
    <w:p w14:paraId="33D61E65" w14:textId="77777777" w:rsidR="0015115D" w:rsidRPr="004F0EB1" w:rsidRDefault="0015115D" w:rsidP="0015115D">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3858D57E" w14:textId="77777777" w:rsidR="0015115D" w:rsidRDefault="0015115D" w:rsidP="0015115D">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15115D" w:rsidRPr="00312812" w14:paraId="391D64FA" w14:textId="77777777" w:rsidTr="00491954">
        <w:trPr>
          <w:trHeight w:val="360"/>
          <w:tblHeader/>
          <w:jc w:val="right"/>
        </w:trPr>
        <w:tc>
          <w:tcPr>
            <w:tcW w:w="5778" w:type="dxa"/>
            <w:shd w:val="clear" w:color="auto" w:fill="7030A0"/>
            <w:noWrap/>
            <w:hideMark/>
          </w:tcPr>
          <w:p w14:paraId="43032395" w14:textId="77777777" w:rsidR="0015115D" w:rsidRPr="00312812" w:rsidRDefault="0015115D"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6A78D8AD" w14:textId="77777777" w:rsidR="0015115D" w:rsidRPr="00312812" w:rsidRDefault="0015115D"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15115D" w:rsidRPr="00312812" w14:paraId="4D1D0CA7" w14:textId="77777777" w:rsidTr="00491954">
        <w:trPr>
          <w:trHeight w:val="360"/>
          <w:jc w:val="right"/>
        </w:trPr>
        <w:tc>
          <w:tcPr>
            <w:tcW w:w="5778" w:type="dxa"/>
            <w:noWrap/>
            <w:hideMark/>
          </w:tcPr>
          <w:p w14:paraId="37B79586"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18F01331"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15115D" w:rsidRPr="00312812" w14:paraId="0278B671" w14:textId="77777777" w:rsidTr="00491954">
        <w:trPr>
          <w:trHeight w:val="360"/>
          <w:jc w:val="right"/>
        </w:trPr>
        <w:tc>
          <w:tcPr>
            <w:tcW w:w="5778" w:type="dxa"/>
            <w:noWrap/>
            <w:hideMark/>
          </w:tcPr>
          <w:p w14:paraId="6E7B31F1"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0737CB23"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15115D" w:rsidRPr="00312812" w14:paraId="6B37FEC0" w14:textId="77777777" w:rsidTr="00491954">
        <w:trPr>
          <w:trHeight w:val="360"/>
          <w:jc w:val="right"/>
        </w:trPr>
        <w:tc>
          <w:tcPr>
            <w:tcW w:w="5778" w:type="dxa"/>
            <w:noWrap/>
            <w:hideMark/>
          </w:tcPr>
          <w:p w14:paraId="6BFBAD6B"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3138CDB2"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15115D" w:rsidRPr="00312812" w14:paraId="3039DF18" w14:textId="77777777" w:rsidTr="00491954">
        <w:trPr>
          <w:trHeight w:val="360"/>
          <w:jc w:val="right"/>
        </w:trPr>
        <w:tc>
          <w:tcPr>
            <w:tcW w:w="5778" w:type="dxa"/>
            <w:noWrap/>
            <w:hideMark/>
          </w:tcPr>
          <w:p w14:paraId="5E350AD4"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33ED4341"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15115D" w:rsidRPr="00312812" w14:paraId="5F194A4C" w14:textId="77777777" w:rsidTr="00491954">
        <w:trPr>
          <w:trHeight w:val="2880"/>
          <w:jc w:val="right"/>
        </w:trPr>
        <w:tc>
          <w:tcPr>
            <w:tcW w:w="5778" w:type="dxa"/>
            <w:noWrap/>
            <w:hideMark/>
          </w:tcPr>
          <w:p w14:paraId="37306453"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56859E5D" w14:textId="3A44E500"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A41315">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15115D" w:rsidRPr="00312812" w14:paraId="35DFB1E9" w14:textId="77777777" w:rsidTr="00491954">
        <w:trPr>
          <w:trHeight w:val="360"/>
          <w:jc w:val="right"/>
        </w:trPr>
        <w:tc>
          <w:tcPr>
            <w:tcW w:w="5778" w:type="dxa"/>
            <w:noWrap/>
            <w:hideMark/>
          </w:tcPr>
          <w:p w14:paraId="684430C1"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1B0F5294"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15115D" w:rsidRPr="00312812" w14:paraId="52F5E5DB" w14:textId="77777777" w:rsidTr="00491954">
        <w:trPr>
          <w:trHeight w:val="2160"/>
          <w:jc w:val="right"/>
        </w:trPr>
        <w:tc>
          <w:tcPr>
            <w:tcW w:w="5778" w:type="dxa"/>
            <w:noWrap/>
            <w:hideMark/>
          </w:tcPr>
          <w:p w14:paraId="61B90FAF"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139B96D3"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15115D" w:rsidRPr="00312812" w14:paraId="5339EF0C" w14:textId="77777777" w:rsidTr="00491954">
        <w:trPr>
          <w:trHeight w:val="360"/>
          <w:jc w:val="right"/>
        </w:trPr>
        <w:tc>
          <w:tcPr>
            <w:tcW w:w="5778" w:type="dxa"/>
            <w:noWrap/>
            <w:hideMark/>
          </w:tcPr>
          <w:p w14:paraId="3E7FEE28"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4CE04813"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15115D" w:rsidRPr="00312812" w14:paraId="5995D842" w14:textId="77777777" w:rsidTr="00491954">
        <w:trPr>
          <w:trHeight w:val="360"/>
          <w:jc w:val="right"/>
        </w:trPr>
        <w:tc>
          <w:tcPr>
            <w:tcW w:w="5778" w:type="dxa"/>
            <w:noWrap/>
            <w:hideMark/>
          </w:tcPr>
          <w:p w14:paraId="709479A5"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0B0BAA6D" w14:textId="7E20544D"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134488">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15115D" w:rsidRPr="00312812" w14:paraId="25E12EA9" w14:textId="77777777" w:rsidTr="00491954">
        <w:trPr>
          <w:trHeight w:val="1440"/>
          <w:jc w:val="right"/>
        </w:trPr>
        <w:tc>
          <w:tcPr>
            <w:tcW w:w="5778" w:type="dxa"/>
            <w:noWrap/>
            <w:hideMark/>
          </w:tcPr>
          <w:p w14:paraId="649652D0"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75F3D28C"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15115D" w:rsidRPr="00312812" w14:paraId="63966849" w14:textId="77777777" w:rsidTr="00491954">
        <w:trPr>
          <w:trHeight w:val="720"/>
          <w:jc w:val="right"/>
        </w:trPr>
        <w:tc>
          <w:tcPr>
            <w:tcW w:w="5778" w:type="dxa"/>
            <w:noWrap/>
            <w:hideMark/>
          </w:tcPr>
          <w:p w14:paraId="4AC7CF27"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6E62E920"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15115D" w:rsidRPr="00312812" w14:paraId="3549C284" w14:textId="77777777" w:rsidTr="00491954">
        <w:trPr>
          <w:trHeight w:val="360"/>
          <w:jc w:val="right"/>
        </w:trPr>
        <w:tc>
          <w:tcPr>
            <w:tcW w:w="5778" w:type="dxa"/>
            <w:noWrap/>
            <w:hideMark/>
          </w:tcPr>
          <w:p w14:paraId="1C2B9582"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4F135FA9"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15115D" w:rsidRPr="00312812" w14:paraId="287CFE40" w14:textId="77777777" w:rsidTr="00491954">
        <w:trPr>
          <w:trHeight w:val="2880"/>
          <w:jc w:val="right"/>
        </w:trPr>
        <w:tc>
          <w:tcPr>
            <w:tcW w:w="5778" w:type="dxa"/>
            <w:noWrap/>
            <w:hideMark/>
          </w:tcPr>
          <w:p w14:paraId="69B81FE9"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57AD254E"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15115D" w:rsidRPr="00312812" w14:paraId="6E2923CA" w14:textId="77777777" w:rsidTr="00491954">
        <w:trPr>
          <w:trHeight w:val="720"/>
          <w:jc w:val="right"/>
        </w:trPr>
        <w:tc>
          <w:tcPr>
            <w:tcW w:w="5778" w:type="dxa"/>
            <w:noWrap/>
            <w:hideMark/>
          </w:tcPr>
          <w:p w14:paraId="5E3299B7"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563FF1B9"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15115D" w:rsidRPr="00312812" w14:paraId="3CCFE5F9" w14:textId="77777777" w:rsidTr="00491954">
        <w:trPr>
          <w:trHeight w:val="360"/>
          <w:jc w:val="right"/>
        </w:trPr>
        <w:tc>
          <w:tcPr>
            <w:tcW w:w="5778" w:type="dxa"/>
            <w:noWrap/>
            <w:hideMark/>
          </w:tcPr>
          <w:p w14:paraId="3B4EF791"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5F7C40D4"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15115D" w:rsidRPr="00312812" w14:paraId="182A7125" w14:textId="77777777" w:rsidTr="00491954">
        <w:trPr>
          <w:trHeight w:val="1080"/>
          <w:jc w:val="right"/>
        </w:trPr>
        <w:tc>
          <w:tcPr>
            <w:tcW w:w="5778" w:type="dxa"/>
            <w:noWrap/>
            <w:hideMark/>
          </w:tcPr>
          <w:p w14:paraId="0EB65CF3"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05188171" w14:textId="4FA4974E"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134488">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15115D" w:rsidRPr="00312812" w14:paraId="79AC0A4D" w14:textId="77777777" w:rsidTr="00491954">
        <w:trPr>
          <w:trHeight w:val="360"/>
          <w:jc w:val="right"/>
        </w:trPr>
        <w:tc>
          <w:tcPr>
            <w:tcW w:w="5778" w:type="dxa"/>
            <w:noWrap/>
            <w:hideMark/>
          </w:tcPr>
          <w:p w14:paraId="2F43488C"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4342EDDD"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15115D" w:rsidRPr="00312812" w14:paraId="152CEEA6" w14:textId="77777777" w:rsidTr="00491954">
        <w:trPr>
          <w:trHeight w:val="360"/>
          <w:jc w:val="right"/>
        </w:trPr>
        <w:tc>
          <w:tcPr>
            <w:tcW w:w="5778" w:type="dxa"/>
            <w:noWrap/>
            <w:hideMark/>
          </w:tcPr>
          <w:p w14:paraId="58143610"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1A6AFB07" w14:textId="77777777" w:rsidR="0015115D" w:rsidRPr="00312812" w:rsidRDefault="0015115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77CC0522" w14:textId="77777777" w:rsidR="0015115D" w:rsidRPr="004F0EB1" w:rsidRDefault="0015115D" w:rsidP="0015115D">
      <w:pPr>
        <w:spacing w:after="0" w:line="360" w:lineRule="auto"/>
        <w:jc w:val="both"/>
        <w:rPr>
          <w:rFonts w:ascii="Palatino Linotype" w:eastAsia="Times New Roman" w:hAnsi="Palatino Linotype" w:cs="Times New Roman"/>
          <w:sz w:val="28"/>
          <w:szCs w:val="28"/>
          <w:lang w:eastAsia="en-GB"/>
        </w:rPr>
      </w:pPr>
    </w:p>
    <w:p w14:paraId="68EDD758" w14:textId="77777777" w:rsidR="0015115D" w:rsidRDefault="0015115D" w:rsidP="0015115D">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076B3DB0" w14:textId="77777777" w:rsidR="0015115D" w:rsidRDefault="0015115D" w:rsidP="0015115D">
      <w:pPr>
        <w:spacing w:after="0" w:line="360" w:lineRule="auto"/>
        <w:jc w:val="both"/>
        <w:rPr>
          <w:rFonts w:ascii="Palatino Linotype" w:eastAsia="Times New Roman" w:hAnsi="Palatino Linotype" w:cs="Times New Roman"/>
          <w:sz w:val="28"/>
          <w:szCs w:val="28"/>
          <w:lang w:eastAsia="en-GB"/>
        </w:rPr>
      </w:pPr>
    </w:p>
    <w:p w14:paraId="382A3FF0" w14:textId="77777777" w:rsidR="0015115D" w:rsidRPr="00312812" w:rsidRDefault="0015115D" w:rsidP="0015115D">
      <w:pPr>
        <w:spacing w:after="0" w:line="360" w:lineRule="auto"/>
        <w:jc w:val="both"/>
        <w:rPr>
          <w:rFonts w:ascii="Palatino Linotype" w:eastAsia="Times New Roman" w:hAnsi="Palatino Linotype" w:cs="Times New Roman"/>
          <w:sz w:val="28"/>
          <w:szCs w:val="28"/>
          <w:lang w:eastAsia="en-GB"/>
        </w:rPr>
      </w:pPr>
    </w:p>
    <w:bookmarkEnd w:id="0"/>
    <w:p w14:paraId="0A1B6116" w14:textId="77777777" w:rsidR="0096671B" w:rsidRPr="004F0EB1" w:rsidRDefault="0096671B" w:rsidP="0096671B">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96671B" w:rsidRPr="004F0EB1" w14:paraId="21CC1120" w14:textId="77777777" w:rsidTr="00342E4F">
        <w:tc>
          <w:tcPr>
            <w:tcW w:w="3539" w:type="dxa"/>
          </w:tcPr>
          <w:p w14:paraId="57683DD1" w14:textId="77777777" w:rsidR="0096671B" w:rsidRPr="004F0EB1" w:rsidRDefault="0096671B"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551856F0" w14:textId="77777777" w:rsidR="0096671B" w:rsidRPr="004F0EB1" w:rsidRDefault="0096671B"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96671B" w:rsidRPr="004F0EB1" w14:paraId="7E04C469" w14:textId="77777777" w:rsidTr="00342E4F">
        <w:tc>
          <w:tcPr>
            <w:tcW w:w="3539" w:type="dxa"/>
          </w:tcPr>
          <w:p w14:paraId="2CB9CD98" w14:textId="77777777" w:rsidR="0096671B" w:rsidRPr="004F0EB1" w:rsidRDefault="0096671B"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6F11194E" w14:textId="77777777" w:rsidR="0096671B" w:rsidRPr="004F0EB1" w:rsidRDefault="0096671B"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96671B" w:rsidRPr="004F0EB1" w14:paraId="1DE11421" w14:textId="77777777" w:rsidTr="00342E4F">
        <w:tc>
          <w:tcPr>
            <w:tcW w:w="3539" w:type="dxa"/>
          </w:tcPr>
          <w:p w14:paraId="17EFF2BF" w14:textId="10805EF5" w:rsidR="0096671B" w:rsidRPr="004F0EB1" w:rsidRDefault="006A028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6B4053F0" w14:textId="2DAF7981" w:rsidR="0096671B" w:rsidRPr="004F0EB1" w:rsidRDefault="006A0288"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5ECDE5DE" w14:textId="77777777" w:rsidR="0096671B" w:rsidRDefault="0096671B" w:rsidP="0096671B">
      <w:pPr>
        <w:spacing w:line="360" w:lineRule="auto"/>
        <w:jc w:val="center"/>
        <w:rPr>
          <w:rFonts w:ascii="Palatino Linotype" w:hAnsi="Palatino Linotype" w:cs="Times New Roman"/>
          <w:b/>
          <w:sz w:val="28"/>
          <w:szCs w:val="28"/>
        </w:rPr>
      </w:pPr>
    </w:p>
    <w:p w14:paraId="1BF8521D" w14:textId="77777777" w:rsidR="0096671B" w:rsidRDefault="0096671B" w:rsidP="0096671B">
      <w:pPr>
        <w:spacing w:line="360" w:lineRule="auto"/>
        <w:jc w:val="center"/>
        <w:rPr>
          <w:rFonts w:ascii="Palatino Linotype" w:hAnsi="Palatino Linotype" w:cs="Times New Roman"/>
          <w:b/>
          <w:sz w:val="28"/>
          <w:szCs w:val="28"/>
        </w:rPr>
      </w:pPr>
    </w:p>
    <w:p w14:paraId="2072DB8F" w14:textId="77777777" w:rsidR="0096671B" w:rsidRDefault="0096671B" w:rsidP="0096671B">
      <w:pPr>
        <w:spacing w:line="360" w:lineRule="auto"/>
        <w:jc w:val="center"/>
        <w:rPr>
          <w:rFonts w:ascii="Palatino Linotype" w:hAnsi="Palatino Linotype" w:cs="Times New Roman"/>
          <w:b/>
          <w:sz w:val="28"/>
          <w:szCs w:val="28"/>
        </w:rPr>
      </w:pPr>
    </w:p>
    <w:p w14:paraId="715DB930" w14:textId="77777777" w:rsidR="0096671B" w:rsidRDefault="0096671B" w:rsidP="0096671B">
      <w:pPr>
        <w:spacing w:line="360" w:lineRule="auto"/>
        <w:jc w:val="center"/>
        <w:rPr>
          <w:rFonts w:ascii="Palatino Linotype" w:hAnsi="Palatino Linotype" w:cs="Times New Roman"/>
          <w:b/>
          <w:sz w:val="28"/>
          <w:szCs w:val="28"/>
        </w:rPr>
      </w:pPr>
    </w:p>
    <w:p w14:paraId="33966824" w14:textId="77777777" w:rsidR="0096671B" w:rsidRDefault="0096671B" w:rsidP="0096671B">
      <w:pPr>
        <w:spacing w:line="360" w:lineRule="auto"/>
        <w:jc w:val="center"/>
        <w:rPr>
          <w:rFonts w:ascii="Palatino Linotype" w:hAnsi="Palatino Linotype" w:cs="Times New Roman"/>
          <w:b/>
          <w:sz w:val="28"/>
          <w:szCs w:val="28"/>
        </w:rPr>
      </w:pPr>
    </w:p>
    <w:p w14:paraId="2C25F0BD" w14:textId="77777777" w:rsidR="0096671B" w:rsidRDefault="0096671B" w:rsidP="0096671B">
      <w:pPr>
        <w:spacing w:line="360" w:lineRule="auto"/>
        <w:jc w:val="center"/>
        <w:rPr>
          <w:rFonts w:ascii="Palatino Linotype" w:hAnsi="Palatino Linotype" w:cs="Times New Roman"/>
          <w:b/>
          <w:sz w:val="28"/>
          <w:szCs w:val="28"/>
        </w:rPr>
      </w:pPr>
    </w:p>
    <w:p w14:paraId="46915D53" w14:textId="77777777" w:rsidR="0096671B" w:rsidRDefault="0096671B" w:rsidP="0096671B">
      <w:pPr>
        <w:spacing w:line="360" w:lineRule="auto"/>
        <w:jc w:val="center"/>
        <w:rPr>
          <w:rFonts w:ascii="Palatino Linotype" w:hAnsi="Palatino Linotype" w:cs="Times New Roman"/>
          <w:b/>
          <w:sz w:val="28"/>
          <w:szCs w:val="28"/>
        </w:rPr>
      </w:pPr>
    </w:p>
    <w:p w14:paraId="51B60AC0" w14:textId="77777777" w:rsidR="0096671B" w:rsidRDefault="0096671B" w:rsidP="0096671B">
      <w:pPr>
        <w:spacing w:line="360" w:lineRule="auto"/>
        <w:jc w:val="center"/>
        <w:rPr>
          <w:rFonts w:ascii="Palatino Linotype" w:hAnsi="Palatino Linotype" w:cs="Times New Roman"/>
          <w:b/>
          <w:sz w:val="28"/>
          <w:szCs w:val="28"/>
        </w:rPr>
      </w:pPr>
    </w:p>
    <w:p w14:paraId="4FC73A2C" w14:textId="77777777" w:rsidR="0096671B" w:rsidRDefault="0096671B" w:rsidP="0096671B">
      <w:pPr>
        <w:spacing w:line="360" w:lineRule="auto"/>
        <w:jc w:val="center"/>
        <w:rPr>
          <w:rFonts w:ascii="Palatino Linotype" w:hAnsi="Palatino Linotype" w:cs="Times New Roman"/>
          <w:b/>
          <w:sz w:val="28"/>
          <w:szCs w:val="28"/>
        </w:rPr>
      </w:pPr>
    </w:p>
    <w:p w14:paraId="290F7C55" w14:textId="77777777" w:rsidR="0096671B" w:rsidRPr="004F0EB1" w:rsidRDefault="0096671B" w:rsidP="0096671B">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52219442" w14:textId="77777777" w:rsidR="0096671B" w:rsidRPr="004F0EB1" w:rsidRDefault="0096671B" w:rsidP="0096671B">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6D417779" w14:textId="77777777" w:rsidR="0096671B" w:rsidRPr="004F0EB1" w:rsidRDefault="0096671B" w:rsidP="0096671B">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03915273" w14:textId="77777777" w:rsidR="0096671B" w:rsidRPr="004F0EB1" w:rsidRDefault="0096671B" w:rsidP="0096671B">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7914B20F" w14:textId="77777777" w:rsidR="0096671B" w:rsidRPr="004F0EB1" w:rsidRDefault="0096671B" w:rsidP="0096671B">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29FFD0B4" w14:textId="77777777" w:rsidR="0096671B" w:rsidRPr="004F0EB1" w:rsidRDefault="0096671B" w:rsidP="0096671B">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55F6488E" w14:textId="77777777" w:rsidR="0096671B" w:rsidRPr="004F0EB1" w:rsidRDefault="0096671B" w:rsidP="0096671B">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644A4E25" w14:textId="784D5A75" w:rsidR="0096671B" w:rsidRPr="004F0EB1" w:rsidRDefault="0096671B" w:rsidP="0096671B">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134488">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11A4C420" w14:textId="77777777" w:rsidR="0096671B" w:rsidRDefault="0096671B" w:rsidP="0096671B">
      <w:pPr>
        <w:spacing w:line="360" w:lineRule="auto"/>
      </w:pPr>
    </w:p>
    <w:p w14:paraId="7904BB91" w14:textId="77777777" w:rsidR="0096671B" w:rsidRDefault="0096671B" w:rsidP="0096671B">
      <w:pPr>
        <w:spacing w:line="360" w:lineRule="auto"/>
      </w:pPr>
    </w:p>
    <w:p w14:paraId="5F133D2B" w14:textId="77777777" w:rsidR="0096671B" w:rsidRDefault="0096671B" w:rsidP="0096671B">
      <w:pPr>
        <w:spacing w:line="360" w:lineRule="auto"/>
      </w:pPr>
    </w:p>
    <w:p w14:paraId="2E606245" w14:textId="77777777" w:rsidR="0096671B" w:rsidRDefault="0096671B" w:rsidP="0096671B">
      <w:pPr>
        <w:spacing w:line="360" w:lineRule="auto"/>
      </w:pPr>
    </w:p>
    <w:p w14:paraId="1102C607" w14:textId="77777777" w:rsidR="0096671B" w:rsidRDefault="0096671B" w:rsidP="0096671B">
      <w:pPr>
        <w:spacing w:line="360" w:lineRule="auto"/>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320"/>
        <w:gridCol w:w="2012"/>
      </w:tblGrid>
      <w:tr w:rsidR="0073220B" w:rsidRPr="0073220B" w14:paraId="5F43CC99" w14:textId="77777777" w:rsidTr="006D4202">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32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201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6D4202">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6D4202">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6D4202">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6D4202">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6D4202">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32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201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6D4202">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32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201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6D4202">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32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6D4202">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32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6D4202">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32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6D4202">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32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6D4202">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32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6D4202">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32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6D4202">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32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6D4202">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32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6D4202">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32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6D4202">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32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6D4202">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32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6D4202">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32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201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0D958385" w14:textId="77777777" w:rsidR="00A23B2E" w:rsidRPr="004A0496" w:rsidRDefault="00A23B2E" w:rsidP="00A13222">
      <w:pPr>
        <w:jc w:val="center"/>
        <w:rPr>
          <w:rFonts w:ascii="Palatino Linotype" w:eastAsia="Calibri" w:hAnsi="Palatino Linotype" w:cs="Arial"/>
          <w:b/>
          <w:sz w:val="28"/>
          <w:szCs w:val="28"/>
          <w:highlight w:val="green"/>
        </w:rPr>
      </w:pPr>
    </w:p>
    <w:p w14:paraId="7390A33D" w14:textId="2CAEA3C2" w:rsidR="008D4561"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lastRenderedPageBreak/>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tbl>
      <w:tblPr>
        <w:tblStyle w:val="TableGrid1"/>
        <w:tblpPr w:leftFromText="180" w:rightFromText="180" w:vertAnchor="text" w:tblpX="-275" w:tblpY="1"/>
        <w:tblOverlap w:val="never"/>
        <w:tblW w:w="14400" w:type="dxa"/>
        <w:tblLook w:val="04A0" w:firstRow="1" w:lastRow="0" w:firstColumn="1" w:lastColumn="0" w:noHBand="0" w:noVBand="1"/>
      </w:tblPr>
      <w:tblGrid>
        <w:gridCol w:w="3415"/>
        <w:gridCol w:w="3510"/>
        <w:gridCol w:w="2970"/>
        <w:gridCol w:w="4505"/>
      </w:tblGrid>
      <w:tr w:rsidR="00CC24F3" w:rsidRPr="005C29B1" w14:paraId="1BA56705" w14:textId="77777777" w:rsidTr="00411D42">
        <w:trPr>
          <w:trHeight w:val="509"/>
          <w:tblHeader/>
        </w:trPr>
        <w:tc>
          <w:tcPr>
            <w:tcW w:w="341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995CC3F" w14:textId="77777777" w:rsidR="00CC24F3" w:rsidRPr="005C29B1" w:rsidRDefault="00CC24F3" w:rsidP="00A528EC">
            <w:pPr>
              <w:rPr>
                <w:rFonts w:ascii="Palatino Linotype" w:eastAsia="Times New Roman" w:hAnsi="Palatino Linotype" w:cs="Calibri"/>
                <w:b/>
                <w:bCs/>
                <w:color w:val="FFFFFF" w:themeColor="background1"/>
                <w:sz w:val="24"/>
                <w:szCs w:val="24"/>
              </w:rPr>
            </w:pPr>
            <w:bookmarkStart w:id="1" w:name="_Hlk127949354"/>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2C9514B" w14:textId="77777777" w:rsidR="00CC24F3" w:rsidRPr="005C29B1" w:rsidRDefault="00CC24F3"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040A43B" w14:textId="77777777" w:rsidR="00CC24F3" w:rsidRPr="005C29B1" w:rsidRDefault="00CC24F3"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3AE93A2F" w14:textId="77777777" w:rsidR="00CC24F3" w:rsidRPr="005C29B1" w:rsidRDefault="00CC24F3"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45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069F33E" w14:textId="77777777" w:rsidR="00CC24F3" w:rsidRPr="005C29B1" w:rsidRDefault="00CC24F3"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CC24F3" w:rsidRPr="005C29B1" w14:paraId="1F637D88" w14:textId="77777777" w:rsidTr="00411D42">
        <w:trPr>
          <w:trHeight w:val="509"/>
          <w:tblHeader/>
        </w:trPr>
        <w:tc>
          <w:tcPr>
            <w:tcW w:w="3415" w:type="dxa"/>
            <w:vMerge/>
            <w:tcBorders>
              <w:top w:val="single" w:sz="4" w:space="0" w:color="auto"/>
              <w:left w:val="single" w:sz="4" w:space="0" w:color="auto"/>
              <w:bottom w:val="single" w:sz="4" w:space="0" w:color="auto"/>
              <w:right w:val="single" w:sz="4" w:space="0" w:color="auto"/>
            </w:tcBorders>
            <w:shd w:val="clear" w:color="auto" w:fill="7030A0"/>
            <w:hideMark/>
          </w:tcPr>
          <w:p w14:paraId="336DE7F6" w14:textId="77777777" w:rsidR="00CC24F3" w:rsidRPr="005C29B1" w:rsidRDefault="00CC24F3" w:rsidP="00A528EC">
            <w:pPr>
              <w:rPr>
                <w:rFonts w:ascii="Palatino Linotype" w:eastAsia="Times New Roman" w:hAnsi="Palatino Linotype" w:cs="Calibri"/>
                <w:b/>
                <w:bCs/>
                <w:color w:val="000000"/>
                <w:sz w:val="24"/>
                <w:szCs w:val="24"/>
              </w:rPr>
            </w:pPr>
          </w:p>
        </w:tc>
        <w:tc>
          <w:tcPr>
            <w:tcW w:w="3510" w:type="dxa"/>
            <w:vMerge/>
            <w:tcBorders>
              <w:top w:val="single" w:sz="4" w:space="0" w:color="auto"/>
              <w:left w:val="single" w:sz="4" w:space="0" w:color="auto"/>
              <w:bottom w:val="single" w:sz="4" w:space="0" w:color="auto"/>
              <w:right w:val="single" w:sz="4" w:space="0" w:color="auto"/>
            </w:tcBorders>
            <w:shd w:val="clear" w:color="auto" w:fill="7030A0"/>
            <w:hideMark/>
          </w:tcPr>
          <w:p w14:paraId="1A68843D" w14:textId="77777777" w:rsidR="00CC24F3" w:rsidRPr="005C29B1" w:rsidRDefault="00CC24F3" w:rsidP="00A528EC">
            <w:pPr>
              <w:rPr>
                <w:rFonts w:ascii="Palatino Linotype" w:eastAsia="Times New Roman" w:hAnsi="Palatino Linotype" w:cs="Calibri"/>
                <w:b/>
                <w:bCs/>
                <w:color w:val="000000"/>
                <w:sz w:val="24"/>
                <w:szCs w:val="24"/>
              </w:rPr>
            </w:pPr>
          </w:p>
        </w:tc>
        <w:tc>
          <w:tcPr>
            <w:tcW w:w="2970" w:type="dxa"/>
            <w:vMerge/>
            <w:tcBorders>
              <w:top w:val="single" w:sz="4" w:space="0" w:color="auto"/>
              <w:left w:val="single" w:sz="4" w:space="0" w:color="auto"/>
              <w:bottom w:val="single" w:sz="4" w:space="0" w:color="auto"/>
              <w:right w:val="single" w:sz="4" w:space="0" w:color="auto"/>
            </w:tcBorders>
            <w:shd w:val="clear" w:color="auto" w:fill="7030A0"/>
            <w:hideMark/>
          </w:tcPr>
          <w:p w14:paraId="36A5D0A8" w14:textId="77777777" w:rsidR="00CC24F3" w:rsidRPr="005C29B1" w:rsidRDefault="00CC24F3" w:rsidP="00A528EC">
            <w:pPr>
              <w:rPr>
                <w:rFonts w:ascii="Palatino Linotype" w:eastAsia="Times New Roman" w:hAnsi="Palatino Linotype" w:cs="Calibri"/>
                <w:b/>
                <w:bCs/>
                <w:color w:val="000000"/>
                <w:sz w:val="24"/>
                <w:szCs w:val="24"/>
              </w:rPr>
            </w:pPr>
          </w:p>
        </w:tc>
        <w:tc>
          <w:tcPr>
            <w:tcW w:w="4505" w:type="dxa"/>
            <w:vMerge/>
            <w:tcBorders>
              <w:top w:val="single" w:sz="4" w:space="0" w:color="auto"/>
              <w:left w:val="single" w:sz="4" w:space="0" w:color="auto"/>
              <w:bottom w:val="single" w:sz="4" w:space="0" w:color="auto"/>
              <w:right w:val="single" w:sz="4" w:space="0" w:color="auto"/>
            </w:tcBorders>
            <w:shd w:val="clear" w:color="auto" w:fill="7030A0"/>
            <w:hideMark/>
          </w:tcPr>
          <w:p w14:paraId="1242953A" w14:textId="77777777" w:rsidR="00CC24F3" w:rsidRPr="005C29B1" w:rsidRDefault="00CC24F3" w:rsidP="00A528EC">
            <w:pPr>
              <w:rPr>
                <w:rFonts w:ascii="Palatino Linotype" w:eastAsia="Times New Roman" w:hAnsi="Palatino Linotype" w:cs="Calibri"/>
                <w:b/>
                <w:bCs/>
                <w:color w:val="000000"/>
                <w:sz w:val="24"/>
                <w:szCs w:val="24"/>
              </w:rPr>
            </w:pPr>
          </w:p>
        </w:tc>
      </w:tr>
      <w:tr w:rsidR="00CC24F3" w:rsidRPr="005C29B1" w14:paraId="191C8265" w14:textId="77777777" w:rsidTr="00411D42">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46D38B5E" w14:textId="48689EAC" w:rsidR="00CC24F3" w:rsidRPr="005C29B1" w:rsidRDefault="00CC24F3" w:rsidP="00A528EC">
            <w:pPr>
              <w:rPr>
                <w:rFonts w:ascii="Palatino Linotype" w:hAnsi="Palatino Linotype" w:cs="Calibri"/>
                <w:sz w:val="24"/>
                <w:szCs w:val="24"/>
              </w:rPr>
            </w:pPr>
            <w:r w:rsidRPr="005C29B1">
              <w:rPr>
                <w:rFonts w:ascii="Palatino Linotype" w:hAnsi="Palatino Linotype" w:cs="Calibri"/>
                <w:sz w:val="24"/>
                <w:szCs w:val="24"/>
              </w:rPr>
              <w:t xml:space="preserve">1. Institute </w:t>
            </w:r>
            <w:r w:rsidR="00411D42">
              <w:rPr>
                <w:rFonts w:ascii="Palatino Linotype" w:hAnsi="Palatino Linotype" w:cs="Calibri"/>
                <w:sz w:val="24"/>
                <w:szCs w:val="24"/>
              </w:rPr>
              <w:t>a</w:t>
            </w:r>
            <w:r w:rsidR="00411D42" w:rsidRPr="005C29B1">
              <w:rPr>
                <w:rFonts w:ascii="Palatino Linotype" w:hAnsi="Palatino Linotype" w:cs="Calibri"/>
                <w:sz w:val="24"/>
                <w:szCs w:val="24"/>
              </w:rPr>
              <w:t xml:space="preserve"> National Cultural Review Programme</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C96817F" w14:textId="77777777" w:rsidR="00CC24F3" w:rsidRPr="005C29B1" w:rsidRDefault="00CC24F3" w:rsidP="00A528EC">
            <w:pPr>
              <w:rPr>
                <w:rFonts w:ascii="Palatino Linotype" w:hAnsi="Palatino Linotype" w:cs="Calibri"/>
                <w:sz w:val="24"/>
                <w:szCs w:val="24"/>
              </w:rPr>
            </w:pPr>
            <w:r w:rsidRPr="005C29B1">
              <w:rPr>
                <w:rFonts w:ascii="Palatino Linotype" w:hAnsi="Palatino Linotype" w:cs="Calibri"/>
                <w:sz w:val="24"/>
                <w:szCs w:val="24"/>
              </w:rPr>
              <w:t>Measures taken to institutionalise national cultural review programme</w:t>
            </w:r>
          </w:p>
          <w:p w14:paraId="74F2B1A3" w14:textId="77777777" w:rsidR="00CC24F3" w:rsidRPr="005C29B1" w:rsidRDefault="00CC24F3" w:rsidP="00A528EC">
            <w:pPr>
              <w:rPr>
                <w:rFonts w:ascii="Palatino Linotype" w:hAnsi="Palatino Linotype" w:cs="Calibri"/>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D95A584" w14:textId="77777777" w:rsidR="00CC24F3" w:rsidRPr="005C29B1" w:rsidRDefault="00CC24F3" w:rsidP="00A528EC">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shd w:val="clear" w:color="auto" w:fill="auto"/>
          </w:tcPr>
          <w:p w14:paraId="10FB70A1" w14:textId="77777777" w:rsidR="00CC24F3" w:rsidRPr="005C29B1" w:rsidRDefault="00CC24F3" w:rsidP="00A528EC">
            <w:pPr>
              <w:rPr>
                <w:rFonts w:ascii="Palatino Linotype" w:hAnsi="Palatino Linotype" w:cs="Calibri"/>
                <w:sz w:val="24"/>
                <w:szCs w:val="24"/>
              </w:rPr>
            </w:pPr>
          </w:p>
        </w:tc>
      </w:tr>
      <w:tr w:rsidR="00CC24F3" w:rsidRPr="005C29B1" w14:paraId="6676AE53" w14:textId="77777777" w:rsidTr="00411D42">
        <w:tc>
          <w:tcPr>
            <w:tcW w:w="3415" w:type="dxa"/>
            <w:tcBorders>
              <w:top w:val="single" w:sz="4" w:space="0" w:color="auto"/>
              <w:left w:val="single" w:sz="4" w:space="0" w:color="auto"/>
              <w:bottom w:val="single" w:sz="4" w:space="0" w:color="auto"/>
              <w:right w:val="single" w:sz="4" w:space="0" w:color="auto"/>
            </w:tcBorders>
            <w:hideMark/>
          </w:tcPr>
          <w:p w14:paraId="2D812BC8" w14:textId="12A66768" w:rsidR="00CC24F3" w:rsidRPr="005C29B1" w:rsidRDefault="00CC24F3" w:rsidP="00A528EC">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411D42" w:rsidRPr="005C29B1">
              <w:rPr>
                <w:rFonts w:ascii="Palatino Linotype" w:eastAsia="Times New Roman" w:hAnsi="Palatino Linotype" w:cs="Calibri"/>
                <w:bCs/>
                <w:color w:val="000000"/>
                <w:sz w:val="24"/>
                <w:szCs w:val="24"/>
              </w:rPr>
              <w:t xml:space="preserve">Anti-Corruption, Ethics </w:t>
            </w:r>
            <w:r w:rsidR="00411D42">
              <w:rPr>
                <w:rFonts w:ascii="Palatino Linotype" w:eastAsia="Times New Roman" w:hAnsi="Palatino Linotype" w:cs="Calibri"/>
                <w:bCs/>
                <w:color w:val="000000"/>
                <w:sz w:val="24"/>
                <w:szCs w:val="24"/>
              </w:rPr>
              <w:t>a</w:t>
            </w:r>
            <w:r w:rsidR="00411D42" w:rsidRPr="005C29B1">
              <w:rPr>
                <w:rFonts w:ascii="Palatino Linotype" w:eastAsia="Times New Roman" w:hAnsi="Palatino Linotype" w:cs="Calibri"/>
                <w:bCs/>
                <w:color w:val="000000"/>
                <w:sz w:val="24"/>
                <w:szCs w:val="24"/>
              </w:rPr>
              <w:t xml:space="preserve">nd Integrity </w:t>
            </w:r>
            <w:r w:rsidR="00411D42">
              <w:rPr>
                <w:rFonts w:ascii="Palatino Linotype" w:eastAsia="Times New Roman" w:hAnsi="Palatino Linotype" w:cs="Calibri"/>
                <w:bCs/>
                <w:color w:val="000000"/>
                <w:sz w:val="24"/>
                <w:szCs w:val="24"/>
              </w:rPr>
              <w:t>i</w:t>
            </w:r>
            <w:r w:rsidR="00411D42" w:rsidRPr="005C29B1">
              <w:rPr>
                <w:rFonts w:ascii="Palatino Linotype" w:eastAsia="Times New Roman" w:hAnsi="Palatino Linotype" w:cs="Calibri"/>
                <w:bCs/>
                <w:color w:val="000000"/>
                <w:sz w:val="24"/>
                <w:szCs w:val="24"/>
              </w:rPr>
              <w:t xml:space="preserve">n Religious Organization </w:t>
            </w:r>
          </w:p>
        </w:tc>
        <w:tc>
          <w:tcPr>
            <w:tcW w:w="3510" w:type="dxa"/>
            <w:tcBorders>
              <w:top w:val="single" w:sz="4" w:space="0" w:color="auto"/>
              <w:left w:val="single" w:sz="4" w:space="0" w:color="auto"/>
              <w:bottom w:val="single" w:sz="4" w:space="0" w:color="auto"/>
              <w:right w:val="single" w:sz="4" w:space="0" w:color="auto"/>
            </w:tcBorders>
            <w:hideMark/>
          </w:tcPr>
          <w:p w14:paraId="4F795B04" w14:textId="77777777" w:rsidR="00CC24F3" w:rsidRPr="005C29B1" w:rsidRDefault="00CC24F3" w:rsidP="00A528EC">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2970" w:type="dxa"/>
            <w:tcBorders>
              <w:top w:val="single" w:sz="4" w:space="0" w:color="auto"/>
              <w:left w:val="single" w:sz="4" w:space="0" w:color="auto"/>
              <w:bottom w:val="single" w:sz="4" w:space="0" w:color="auto"/>
              <w:right w:val="single" w:sz="4" w:space="0" w:color="auto"/>
            </w:tcBorders>
          </w:tcPr>
          <w:p w14:paraId="7DA58D9A" w14:textId="77777777" w:rsidR="00CC24F3" w:rsidRPr="005C29B1" w:rsidRDefault="00CC24F3" w:rsidP="00A528EC">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53365564" w14:textId="77777777" w:rsidR="00CC24F3" w:rsidRPr="005C29B1" w:rsidRDefault="00CC24F3" w:rsidP="00A528EC">
            <w:pPr>
              <w:rPr>
                <w:rFonts w:ascii="Palatino Linotype" w:hAnsi="Palatino Linotype" w:cs="Calibri"/>
                <w:sz w:val="24"/>
                <w:szCs w:val="24"/>
              </w:rPr>
            </w:pPr>
          </w:p>
        </w:tc>
      </w:tr>
      <w:tr w:rsidR="00CC24F3" w:rsidRPr="005C29B1" w14:paraId="575C3632" w14:textId="77777777" w:rsidTr="00411D42">
        <w:tc>
          <w:tcPr>
            <w:tcW w:w="3415" w:type="dxa"/>
            <w:tcBorders>
              <w:top w:val="single" w:sz="4" w:space="0" w:color="auto"/>
              <w:left w:val="single" w:sz="4" w:space="0" w:color="auto"/>
              <w:bottom w:val="single" w:sz="4" w:space="0" w:color="auto"/>
              <w:right w:val="single" w:sz="4" w:space="0" w:color="auto"/>
            </w:tcBorders>
            <w:hideMark/>
          </w:tcPr>
          <w:p w14:paraId="4A9BF6E1" w14:textId="24388D82" w:rsidR="00CC24F3" w:rsidRPr="005C29B1" w:rsidRDefault="00CC24F3" w:rsidP="00A528EC">
            <w:pPr>
              <w:rPr>
                <w:rFonts w:ascii="Palatino Linotype" w:eastAsia="Times New Roman" w:hAnsi="Palatino Linotype" w:cs="Calibri"/>
                <w:color w:val="000000"/>
                <w:sz w:val="24"/>
                <w:szCs w:val="24"/>
              </w:rPr>
            </w:pPr>
            <w:r w:rsidRPr="005C29B1">
              <w:rPr>
                <w:rFonts w:ascii="Palatino Linotype" w:eastAsia="Times New Roman" w:hAnsi="Palatino Linotype" w:cs="Calibri"/>
                <w:b/>
                <w:color w:val="000000"/>
                <w:sz w:val="24"/>
                <w:szCs w:val="24"/>
              </w:rPr>
              <w:t>9. I</w:t>
            </w:r>
            <w:r w:rsidRPr="005C29B1">
              <w:rPr>
                <w:rFonts w:ascii="Palatino Linotype" w:eastAsia="Times New Roman" w:hAnsi="Palatino Linotype" w:cs="Calibri"/>
                <w:color w:val="000000"/>
                <w:sz w:val="24"/>
                <w:szCs w:val="24"/>
              </w:rPr>
              <w:t xml:space="preserve">ntroduce </w:t>
            </w:r>
            <w:r w:rsidR="00411D42" w:rsidRPr="005C29B1">
              <w:rPr>
                <w:rFonts w:ascii="Palatino Linotype" w:eastAsia="Times New Roman" w:hAnsi="Palatino Linotype" w:cs="Calibri"/>
                <w:color w:val="000000"/>
                <w:sz w:val="24"/>
                <w:szCs w:val="24"/>
              </w:rPr>
              <w:t xml:space="preserve">Anti-Corruption Sermons </w:t>
            </w:r>
            <w:r w:rsidR="00411D42">
              <w:rPr>
                <w:rFonts w:ascii="Palatino Linotype" w:eastAsia="Times New Roman" w:hAnsi="Palatino Linotype" w:cs="Calibri"/>
                <w:color w:val="000000"/>
                <w:sz w:val="24"/>
                <w:szCs w:val="24"/>
              </w:rPr>
              <w:t>a</w:t>
            </w:r>
            <w:r w:rsidR="00411D42" w:rsidRPr="005C29B1">
              <w:rPr>
                <w:rFonts w:ascii="Palatino Linotype" w:eastAsia="Times New Roman" w:hAnsi="Palatino Linotype" w:cs="Calibri"/>
                <w:color w:val="000000"/>
                <w:sz w:val="24"/>
                <w:szCs w:val="24"/>
              </w:rPr>
              <w:t xml:space="preserve">nd Teachings </w:t>
            </w:r>
            <w:proofErr w:type="gramStart"/>
            <w:r w:rsidR="00411D42">
              <w:rPr>
                <w:rFonts w:ascii="Palatino Linotype" w:eastAsia="Times New Roman" w:hAnsi="Palatino Linotype" w:cs="Calibri"/>
                <w:color w:val="000000"/>
                <w:sz w:val="24"/>
                <w:szCs w:val="24"/>
              </w:rPr>
              <w:t>i</w:t>
            </w:r>
            <w:r w:rsidR="00411D42" w:rsidRPr="005C29B1">
              <w:rPr>
                <w:rFonts w:ascii="Palatino Linotype" w:eastAsia="Times New Roman" w:hAnsi="Palatino Linotype" w:cs="Calibri"/>
                <w:color w:val="000000"/>
                <w:sz w:val="24"/>
                <w:szCs w:val="24"/>
              </w:rPr>
              <w:t xml:space="preserve">n </w:t>
            </w:r>
            <w:r w:rsidR="00411D42" w:rsidRPr="005C29B1">
              <w:rPr>
                <w:rFonts w:ascii="Palatino Linotype" w:eastAsia="Times New Roman" w:hAnsi="Palatino Linotype" w:cs="Calibri"/>
                <w:bCs/>
                <w:color w:val="000000"/>
                <w:sz w:val="24"/>
                <w:szCs w:val="24"/>
              </w:rPr>
              <w:t xml:space="preserve"> Religious</w:t>
            </w:r>
            <w:proofErr w:type="gramEnd"/>
            <w:r w:rsidR="00411D42" w:rsidRPr="005C29B1">
              <w:rPr>
                <w:rFonts w:ascii="Palatino Linotype" w:eastAsia="Times New Roman" w:hAnsi="Palatino Linotype" w:cs="Calibri"/>
                <w:bCs/>
                <w:color w:val="000000"/>
                <w:sz w:val="24"/>
                <w:szCs w:val="24"/>
              </w:rPr>
              <w:t xml:space="preserve"> Organization </w:t>
            </w:r>
            <w:r w:rsidR="00411D42" w:rsidRPr="005C29B1">
              <w:rPr>
                <w:rFonts w:ascii="Palatino Linotype" w:eastAsia="Times New Roman" w:hAnsi="Palatino Linotype" w:cs="Calibri"/>
                <w:color w:val="000000"/>
                <w:sz w:val="24"/>
                <w:szCs w:val="24"/>
              </w:rPr>
              <w:t xml:space="preserve"> </w:t>
            </w:r>
          </w:p>
        </w:tc>
        <w:tc>
          <w:tcPr>
            <w:tcW w:w="3510" w:type="dxa"/>
            <w:tcBorders>
              <w:top w:val="single" w:sz="4" w:space="0" w:color="auto"/>
              <w:left w:val="single" w:sz="4" w:space="0" w:color="auto"/>
              <w:bottom w:val="single" w:sz="4" w:space="0" w:color="auto"/>
              <w:right w:val="single" w:sz="4" w:space="0" w:color="auto"/>
            </w:tcBorders>
            <w:hideMark/>
          </w:tcPr>
          <w:p w14:paraId="5C5AFB7D" w14:textId="77777777" w:rsidR="00CC24F3" w:rsidRPr="005C29B1" w:rsidRDefault="00CC24F3" w:rsidP="00A528EC">
            <w:pPr>
              <w:rPr>
                <w:rFonts w:ascii="Palatino Linotype" w:hAnsi="Palatino Linotype" w:cs="Calibri"/>
                <w:sz w:val="24"/>
                <w:szCs w:val="24"/>
              </w:rPr>
            </w:pPr>
            <w:r w:rsidRPr="005C29B1">
              <w:rPr>
                <w:rFonts w:ascii="Palatino Linotype" w:hAnsi="Palatino Linotype" w:cs="Calibri"/>
                <w:sz w:val="24"/>
                <w:szCs w:val="24"/>
              </w:rPr>
              <w:t>Anti-corruption sermons/teachings (including Godly conduct, integrity) introduced</w:t>
            </w:r>
          </w:p>
          <w:p w14:paraId="296EDDE0" w14:textId="77777777" w:rsidR="00CC24F3" w:rsidRPr="005C29B1" w:rsidRDefault="00CC24F3" w:rsidP="00A528EC">
            <w:pPr>
              <w:rPr>
                <w:rFonts w:ascii="Palatino Linotype" w:hAnsi="Palatino Linotype" w:cs="Calibri"/>
                <w:sz w:val="24"/>
                <w:szCs w:val="24"/>
              </w:rPr>
            </w:pPr>
          </w:p>
        </w:tc>
        <w:tc>
          <w:tcPr>
            <w:tcW w:w="2970" w:type="dxa"/>
            <w:tcBorders>
              <w:top w:val="single" w:sz="4" w:space="0" w:color="auto"/>
              <w:left w:val="single" w:sz="4" w:space="0" w:color="auto"/>
              <w:bottom w:val="single" w:sz="4" w:space="0" w:color="auto"/>
              <w:right w:val="single" w:sz="4" w:space="0" w:color="auto"/>
            </w:tcBorders>
          </w:tcPr>
          <w:p w14:paraId="1D42B0B2" w14:textId="77777777" w:rsidR="00CC24F3" w:rsidRPr="005C29B1" w:rsidRDefault="00CC24F3" w:rsidP="00A528EC">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228159BC" w14:textId="77777777" w:rsidR="00CC24F3" w:rsidRPr="005C29B1" w:rsidRDefault="00CC24F3" w:rsidP="00A528EC">
            <w:pPr>
              <w:rPr>
                <w:rFonts w:ascii="Palatino Linotype" w:hAnsi="Palatino Linotype" w:cs="Calibri"/>
                <w:sz w:val="24"/>
                <w:szCs w:val="24"/>
              </w:rPr>
            </w:pPr>
          </w:p>
        </w:tc>
      </w:tr>
      <w:tr w:rsidR="00CC24F3" w:rsidRPr="005C29B1" w14:paraId="7CE3CA49" w14:textId="77777777" w:rsidTr="00411D42">
        <w:trPr>
          <w:trHeight w:val="1083"/>
        </w:trPr>
        <w:tc>
          <w:tcPr>
            <w:tcW w:w="3415" w:type="dxa"/>
            <w:vMerge w:val="restart"/>
            <w:tcBorders>
              <w:top w:val="single" w:sz="4" w:space="0" w:color="auto"/>
              <w:left w:val="single" w:sz="4" w:space="0" w:color="auto"/>
              <w:right w:val="single" w:sz="4" w:space="0" w:color="auto"/>
            </w:tcBorders>
            <w:hideMark/>
          </w:tcPr>
          <w:p w14:paraId="45DF8840" w14:textId="62B12B8B" w:rsidR="00CC24F3" w:rsidRPr="005C29B1" w:rsidRDefault="00CC24F3" w:rsidP="00A528EC">
            <w:pPr>
              <w:rPr>
                <w:rFonts w:ascii="Palatino Linotype" w:hAnsi="Palatino Linotype" w:cs="Calibri"/>
                <w:color w:val="000000"/>
                <w:sz w:val="24"/>
                <w:szCs w:val="24"/>
              </w:rPr>
            </w:pPr>
            <w:r w:rsidRPr="005C29B1">
              <w:rPr>
                <w:rFonts w:ascii="Palatino Linotype" w:hAnsi="Palatino Linotype" w:cs="Calibri"/>
                <w:color w:val="000000"/>
                <w:sz w:val="24"/>
                <w:szCs w:val="24"/>
              </w:rPr>
              <w:t xml:space="preserve">26. Develop </w:t>
            </w:r>
            <w:r w:rsidR="00411D42">
              <w:rPr>
                <w:rFonts w:ascii="Palatino Linotype" w:hAnsi="Palatino Linotype" w:cs="Calibri"/>
                <w:color w:val="000000"/>
                <w:sz w:val="24"/>
                <w:szCs w:val="24"/>
              </w:rPr>
              <w:t>a</w:t>
            </w:r>
            <w:r w:rsidR="00411D42" w:rsidRPr="005C29B1">
              <w:rPr>
                <w:rFonts w:ascii="Palatino Linotype" w:hAnsi="Palatino Linotype" w:cs="Calibri"/>
                <w:color w:val="000000"/>
                <w:sz w:val="24"/>
                <w:szCs w:val="24"/>
              </w:rPr>
              <w:t xml:space="preserve">nd Implement </w:t>
            </w:r>
            <w:r w:rsidR="00CE13E1">
              <w:rPr>
                <w:rFonts w:ascii="Palatino Linotype" w:hAnsi="Palatino Linotype" w:cs="Calibri"/>
                <w:color w:val="000000"/>
                <w:sz w:val="24"/>
                <w:szCs w:val="24"/>
              </w:rPr>
              <w:t>C</w:t>
            </w:r>
            <w:r w:rsidRPr="005C29B1">
              <w:rPr>
                <w:rFonts w:ascii="Palatino Linotype" w:hAnsi="Palatino Linotype" w:cs="Calibri"/>
                <w:color w:val="000000"/>
                <w:sz w:val="24"/>
                <w:szCs w:val="24"/>
              </w:rPr>
              <w:t xml:space="preserve">ode </w:t>
            </w:r>
            <w:r w:rsidR="00411D42">
              <w:rPr>
                <w:rFonts w:ascii="Palatino Linotype" w:hAnsi="Palatino Linotype" w:cs="Calibri"/>
                <w:color w:val="000000"/>
                <w:sz w:val="24"/>
                <w:szCs w:val="24"/>
              </w:rPr>
              <w:t>o</w:t>
            </w:r>
            <w:r w:rsidR="00411D42" w:rsidRPr="005C29B1">
              <w:rPr>
                <w:rFonts w:ascii="Palatino Linotype" w:hAnsi="Palatino Linotype" w:cs="Calibri"/>
                <w:color w:val="000000"/>
                <w:sz w:val="24"/>
                <w:szCs w:val="24"/>
              </w:rPr>
              <w:t xml:space="preserve">f </w:t>
            </w:r>
            <w:r w:rsidR="00CE13E1">
              <w:rPr>
                <w:rFonts w:ascii="Palatino Linotype" w:hAnsi="Palatino Linotype" w:cs="Calibri"/>
                <w:color w:val="000000"/>
                <w:sz w:val="24"/>
                <w:szCs w:val="24"/>
              </w:rPr>
              <w:t>C</w:t>
            </w:r>
            <w:r w:rsidRPr="005C29B1">
              <w:rPr>
                <w:rFonts w:ascii="Palatino Linotype" w:hAnsi="Palatino Linotype" w:cs="Calibri"/>
                <w:color w:val="000000"/>
                <w:sz w:val="24"/>
                <w:szCs w:val="24"/>
              </w:rPr>
              <w:t xml:space="preserve">onduct </w:t>
            </w:r>
            <w:r w:rsidR="00411D42">
              <w:rPr>
                <w:rFonts w:ascii="Palatino Linotype" w:hAnsi="Palatino Linotype" w:cs="Calibri"/>
                <w:color w:val="000000"/>
                <w:sz w:val="24"/>
                <w:szCs w:val="24"/>
              </w:rPr>
              <w:t>f</w:t>
            </w:r>
            <w:r w:rsidR="00411D42" w:rsidRPr="005C29B1">
              <w:rPr>
                <w:rFonts w:ascii="Palatino Linotype" w:hAnsi="Palatino Linotype" w:cs="Calibri"/>
                <w:color w:val="000000"/>
                <w:sz w:val="24"/>
                <w:szCs w:val="24"/>
              </w:rPr>
              <w:t xml:space="preserve">or </w:t>
            </w:r>
            <w:r w:rsidR="00CE13E1">
              <w:rPr>
                <w:rFonts w:ascii="Palatino Linotype" w:hAnsi="Palatino Linotype" w:cs="Calibri"/>
                <w:color w:val="000000"/>
                <w:sz w:val="24"/>
                <w:szCs w:val="24"/>
              </w:rPr>
              <w:t>Religious Bodies</w:t>
            </w:r>
          </w:p>
        </w:tc>
        <w:tc>
          <w:tcPr>
            <w:tcW w:w="3510" w:type="dxa"/>
            <w:tcBorders>
              <w:top w:val="single" w:sz="4" w:space="0" w:color="auto"/>
              <w:left w:val="single" w:sz="4" w:space="0" w:color="auto"/>
              <w:bottom w:val="single" w:sz="4" w:space="0" w:color="auto"/>
              <w:right w:val="single" w:sz="4" w:space="0" w:color="auto"/>
            </w:tcBorders>
            <w:hideMark/>
          </w:tcPr>
          <w:p w14:paraId="2E263D3C" w14:textId="40D5BA31" w:rsidR="00CC24F3" w:rsidRPr="005C29B1" w:rsidRDefault="00CC24F3" w:rsidP="00A528EC">
            <w:pPr>
              <w:rPr>
                <w:rFonts w:ascii="Palatino Linotype" w:hAnsi="Palatino Linotype" w:cs="Calibri"/>
                <w:sz w:val="24"/>
                <w:szCs w:val="24"/>
              </w:rPr>
            </w:pPr>
            <w:r w:rsidRPr="005C29B1">
              <w:rPr>
                <w:rFonts w:ascii="Palatino Linotype" w:hAnsi="Palatino Linotype" w:cs="Calibri"/>
                <w:color w:val="000000"/>
                <w:sz w:val="24"/>
                <w:szCs w:val="24"/>
              </w:rPr>
              <w:t>Code of conduct (CoC) developed (indicate CoC is developed)</w:t>
            </w:r>
          </w:p>
        </w:tc>
        <w:tc>
          <w:tcPr>
            <w:tcW w:w="2970" w:type="dxa"/>
            <w:vMerge w:val="restart"/>
            <w:tcBorders>
              <w:top w:val="single" w:sz="4" w:space="0" w:color="auto"/>
              <w:left w:val="single" w:sz="4" w:space="0" w:color="auto"/>
              <w:right w:val="single" w:sz="4" w:space="0" w:color="auto"/>
            </w:tcBorders>
          </w:tcPr>
          <w:p w14:paraId="0C07F6C0" w14:textId="77777777" w:rsidR="00CC24F3" w:rsidRPr="005C29B1" w:rsidRDefault="00CC24F3" w:rsidP="00A528EC">
            <w:pPr>
              <w:rPr>
                <w:rFonts w:ascii="Palatino Linotype" w:hAnsi="Palatino Linotype" w:cs="Calibri"/>
                <w:sz w:val="24"/>
                <w:szCs w:val="24"/>
              </w:rPr>
            </w:pPr>
          </w:p>
        </w:tc>
        <w:tc>
          <w:tcPr>
            <w:tcW w:w="4505" w:type="dxa"/>
            <w:vMerge w:val="restart"/>
            <w:tcBorders>
              <w:top w:val="single" w:sz="4" w:space="0" w:color="auto"/>
              <w:left w:val="single" w:sz="4" w:space="0" w:color="auto"/>
              <w:right w:val="single" w:sz="4" w:space="0" w:color="auto"/>
            </w:tcBorders>
          </w:tcPr>
          <w:p w14:paraId="2891CFF6" w14:textId="77777777" w:rsidR="00CC24F3" w:rsidRPr="005C29B1" w:rsidRDefault="00CC24F3" w:rsidP="00A528EC">
            <w:pPr>
              <w:rPr>
                <w:rFonts w:ascii="Palatino Linotype" w:hAnsi="Palatino Linotype" w:cs="Calibri"/>
                <w:sz w:val="24"/>
                <w:szCs w:val="24"/>
              </w:rPr>
            </w:pPr>
          </w:p>
        </w:tc>
      </w:tr>
      <w:tr w:rsidR="00CC24F3" w:rsidRPr="005C29B1" w14:paraId="3B5F3188" w14:textId="77777777" w:rsidTr="00411D42">
        <w:trPr>
          <w:trHeight w:val="1083"/>
        </w:trPr>
        <w:tc>
          <w:tcPr>
            <w:tcW w:w="3415" w:type="dxa"/>
            <w:vMerge/>
            <w:tcBorders>
              <w:left w:val="single" w:sz="4" w:space="0" w:color="auto"/>
              <w:bottom w:val="single" w:sz="4" w:space="0" w:color="auto"/>
              <w:right w:val="single" w:sz="4" w:space="0" w:color="auto"/>
            </w:tcBorders>
          </w:tcPr>
          <w:p w14:paraId="3BEFFC78" w14:textId="77777777" w:rsidR="00CC24F3" w:rsidRPr="005C29B1" w:rsidRDefault="00CC24F3" w:rsidP="00A528EC">
            <w:pPr>
              <w:rPr>
                <w:rFonts w:ascii="Palatino Linotype" w:hAnsi="Palatino Linotype" w:cs="Calibri"/>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0B553E0" w14:textId="6254B5A0" w:rsidR="00CC24F3" w:rsidRPr="005C29B1" w:rsidRDefault="00CC24F3" w:rsidP="00A528EC">
            <w:pPr>
              <w:rPr>
                <w:rFonts w:ascii="Palatino Linotype" w:hAnsi="Palatino Linotype" w:cs="Calibri"/>
                <w:color w:val="000000"/>
                <w:sz w:val="24"/>
                <w:szCs w:val="24"/>
              </w:rPr>
            </w:pPr>
            <w:r w:rsidRPr="005C29B1">
              <w:rPr>
                <w:rFonts w:ascii="Palatino Linotype" w:hAnsi="Palatino Linotype" w:cs="Calibri"/>
                <w:sz w:val="24"/>
                <w:szCs w:val="24"/>
              </w:rPr>
              <w:t>Actions taken to develop and implement Code of conduct</w:t>
            </w:r>
          </w:p>
        </w:tc>
        <w:tc>
          <w:tcPr>
            <w:tcW w:w="2970" w:type="dxa"/>
            <w:vMerge/>
            <w:tcBorders>
              <w:left w:val="single" w:sz="4" w:space="0" w:color="auto"/>
              <w:bottom w:val="single" w:sz="4" w:space="0" w:color="auto"/>
              <w:right w:val="single" w:sz="4" w:space="0" w:color="auto"/>
            </w:tcBorders>
          </w:tcPr>
          <w:p w14:paraId="475F6867" w14:textId="77777777" w:rsidR="00CC24F3" w:rsidRPr="005C29B1" w:rsidRDefault="00CC24F3" w:rsidP="00A528EC">
            <w:pPr>
              <w:rPr>
                <w:rFonts w:ascii="Palatino Linotype" w:hAnsi="Palatino Linotype" w:cs="Calibri"/>
                <w:sz w:val="24"/>
                <w:szCs w:val="24"/>
              </w:rPr>
            </w:pPr>
          </w:p>
        </w:tc>
        <w:tc>
          <w:tcPr>
            <w:tcW w:w="4505" w:type="dxa"/>
            <w:vMerge/>
            <w:tcBorders>
              <w:left w:val="single" w:sz="4" w:space="0" w:color="auto"/>
              <w:bottom w:val="single" w:sz="4" w:space="0" w:color="auto"/>
              <w:right w:val="single" w:sz="4" w:space="0" w:color="auto"/>
            </w:tcBorders>
          </w:tcPr>
          <w:p w14:paraId="323521D2" w14:textId="77777777" w:rsidR="00CC24F3" w:rsidRPr="005C29B1" w:rsidRDefault="00CC24F3" w:rsidP="00A528EC">
            <w:pPr>
              <w:rPr>
                <w:rFonts w:ascii="Palatino Linotype" w:hAnsi="Palatino Linotype" w:cs="Calibri"/>
                <w:sz w:val="24"/>
                <w:szCs w:val="24"/>
              </w:rPr>
            </w:pPr>
          </w:p>
        </w:tc>
      </w:tr>
      <w:bookmarkEnd w:id="1"/>
    </w:tbl>
    <w:p w14:paraId="793EC6EC" w14:textId="77777777" w:rsidR="000C674B" w:rsidRDefault="000C674B" w:rsidP="00101F08">
      <w:pPr>
        <w:ind w:left="-720"/>
        <w:rPr>
          <w:rFonts w:ascii="Palatino Linotype" w:eastAsia="Calibri" w:hAnsi="Palatino Linotype" w:cs="Arial"/>
          <w:b/>
          <w:sz w:val="28"/>
          <w:szCs w:val="28"/>
        </w:rPr>
      </w:pPr>
    </w:p>
    <w:sectPr w:rsidR="000C674B"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F53A" w14:textId="77777777" w:rsidR="00F6692D" w:rsidRDefault="00F6692D" w:rsidP="00D31D83">
      <w:pPr>
        <w:spacing w:after="0" w:line="240" w:lineRule="auto"/>
      </w:pPr>
      <w:r>
        <w:separator/>
      </w:r>
    </w:p>
  </w:endnote>
  <w:endnote w:type="continuationSeparator" w:id="0">
    <w:p w14:paraId="79BB5E7D" w14:textId="77777777" w:rsidR="00F6692D" w:rsidRDefault="00F6692D"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5833A" w14:textId="77777777" w:rsidR="00F6692D" w:rsidRDefault="00F6692D" w:rsidP="00D31D83">
      <w:pPr>
        <w:spacing w:after="0" w:line="240" w:lineRule="auto"/>
      </w:pPr>
      <w:r>
        <w:separator/>
      </w:r>
    </w:p>
  </w:footnote>
  <w:footnote w:type="continuationSeparator" w:id="0">
    <w:p w14:paraId="58668893" w14:textId="77777777" w:rsidR="00F6692D" w:rsidRDefault="00F6692D"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6338833">
    <w:abstractNumId w:val="9"/>
  </w:num>
  <w:num w:numId="12" w16cid:durableId="1817720939">
    <w:abstractNumId w:val="7"/>
  </w:num>
  <w:num w:numId="13" w16cid:durableId="675815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134D5"/>
    <w:rsid w:val="000139F7"/>
    <w:rsid w:val="000320F3"/>
    <w:rsid w:val="0003329A"/>
    <w:rsid w:val="0005665B"/>
    <w:rsid w:val="00086853"/>
    <w:rsid w:val="00092330"/>
    <w:rsid w:val="0009581A"/>
    <w:rsid w:val="00095A61"/>
    <w:rsid w:val="000A01C6"/>
    <w:rsid w:val="000A06D1"/>
    <w:rsid w:val="000C491C"/>
    <w:rsid w:val="000C674B"/>
    <w:rsid w:val="000D7202"/>
    <w:rsid w:val="000F34C6"/>
    <w:rsid w:val="000F361C"/>
    <w:rsid w:val="000F63FC"/>
    <w:rsid w:val="000F642D"/>
    <w:rsid w:val="001003C2"/>
    <w:rsid w:val="00101F08"/>
    <w:rsid w:val="001060AC"/>
    <w:rsid w:val="00106573"/>
    <w:rsid w:val="00112BC0"/>
    <w:rsid w:val="00122515"/>
    <w:rsid w:val="00122A3B"/>
    <w:rsid w:val="00126678"/>
    <w:rsid w:val="00130BFB"/>
    <w:rsid w:val="00134488"/>
    <w:rsid w:val="001412A6"/>
    <w:rsid w:val="00141CA7"/>
    <w:rsid w:val="0015115D"/>
    <w:rsid w:val="00152CD9"/>
    <w:rsid w:val="00166C5E"/>
    <w:rsid w:val="00171BFA"/>
    <w:rsid w:val="00182951"/>
    <w:rsid w:val="00183474"/>
    <w:rsid w:val="00193973"/>
    <w:rsid w:val="001A0836"/>
    <w:rsid w:val="001A0E99"/>
    <w:rsid w:val="001D18BD"/>
    <w:rsid w:val="001D4E8F"/>
    <w:rsid w:val="001D4ED2"/>
    <w:rsid w:val="001E441E"/>
    <w:rsid w:val="001E4E8F"/>
    <w:rsid w:val="001F17EE"/>
    <w:rsid w:val="001F18F2"/>
    <w:rsid w:val="001F3E4A"/>
    <w:rsid w:val="001F5F3C"/>
    <w:rsid w:val="00201DE0"/>
    <w:rsid w:val="002044E2"/>
    <w:rsid w:val="00205A63"/>
    <w:rsid w:val="00210141"/>
    <w:rsid w:val="002107BE"/>
    <w:rsid w:val="0021177D"/>
    <w:rsid w:val="00235F63"/>
    <w:rsid w:val="00241B05"/>
    <w:rsid w:val="00247E21"/>
    <w:rsid w:val="0025065C"/>
    <w:rsid w:val="002660C0"/>
    <w:rsid w:val="002664CC"/>
    <w:rsid w:val="00267138"/>
    <w:rsid w:val="00270FF6"/>
    <w:rsid w:val="00271EB3"/>
    <w:rsid w:val="0027601B"/>
    <w:rsid w:val="0028170E"/>
    <w:rsid w:val="00281D09"/>
    <w:rsid w:val="002A0C06"/>
    <w:rsid w:val="002B2E7D"/>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4211F"/>
    <w:rsid w:val="00353CCE"/>
    <w:rsid w:val="00356129"/>
    <w:rsid w:val="00363A3A"/>
    <w:rsid w:val="0038170E"/>
    <w:rsid w:val="00392313"/>
    <w:rsid w:val="00393AF1"/>
    <w:rsid w:val="003A1393"/>
    <w:rsid w:val="003A3981"/>
    <w:rsid w:val="003A77B2"/>
    <w:rsid w:val="003B2C26"/>
    <w:rsid w:val="003B6637"/>
    <w:rsid w:val="003C029B"/>
    <w:rsid w:val="003C4117"/>
    <w:rsid w:val="003C44C3"/>
    <w:rsid w:val="003C63B1"/>
    <w:rsid w:val="003D6B63"/>
    <w:rsid w:val="003D799C"/>
    <w:rsid w:val="003F19A8"/>
    <w:rsid w:val="003F53F3"/>
    <w:rsid w:val="00400F64"/>
    <w:rsid w:val="00401612"/>
    <w:rsid w:val="00411D42"/>
    <w:rsid w:val="00417469"/>
    <w:rsid w:val="00431754"/>
    <w:rsid w:val="00433EAE"/>
    <w:rsid w:val="00434F70"/>
    <w:rsid w:val="004500C7"/>
    <w:rsid w:val="00460100"/>
    <w:rsid w:val="00461ACE"/>
    <w:rsid w:val="00462289"/>
    <w:rsid w:val="004649F0"/>
    <w:rsid w:val="00464B4F"/>
    <w:rsid w:val="0048088E"/>
    <w:rsid w:val="00480FDC"/>
    <w:rsid w:val="004845B3"/>
    <w:rsid w:val="00484657"/>
    <w:rsid w:val="004860E0"/>
    <w:rsid w:val="004965CC"/>
    <w:rsid w:val="004A0496"/>
    <w:rsid w:val="004B1D55"/>
    <w:rsid w:val="004B3109"/>
    <w:rsid w:val="004C238E"/>
    <w:rsid w:val="004C3E3E"/>
    <w:rsid w:val="004D0C6F"/>
    <w:rsid w:val="004D6B08"/>
    <w:rsid w:val="004D7567"/>
    <w:rsid w:val="004E013C"/>
    <w:rsid w:val="004F0000"/>
    <w:rsid w:val="004F04B0"/>
    <w:rsid w:val="0050508C"/>
    <w:rsid w:val="0051579A"/>
    <w:rsid w:val="00541F1D"/>
    <w:rsid w:val="005541E5"/>
    <w:rsid w:val="0056643F"/>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16655"/>
    <w:rsid w:val="00620548"/>
    <w:rsid w:val="00621FAA"/>
    <w:rsid w:val="00626CD1"/>
    <w:rsid w:val="006351D9"/>
    <w:rsid w:val="0064138C"/>
    <w:rsid w:val="00643607"/>
    <w:rsid w:val="006515FA"/>
    <w:rsid w:val="00653344"/>
    <w:rsid w:val="00657F09"/>
    <w:rsid w:val="00667E28"/>
    <w:rsid w:val="00674E96"/>
    <w:rsid w:val="0068704D"/>
    <w:rsid w:val="0069473B"/>
    <w:rsid w:val="006964B2"/>
    <w:rsid w:val="006A0288"/>
    <w:rsid w:val="006B17EE"/>
    <w:rsid w:val="006C26CA"/>
    <w:rsid w:val="006C6613"/>
    <w:rsid w:val="006D073B"/>
    <w:rsid w:val="006D3762"/>
    <w:rsid w:val="006D4202"/>
    <w:rsid w:val="006E49B7"/>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8134B5"/>
    <w:rsid w:val="008149B2"/>
    <w:rsid w:val="008171DC"/>
    <w:rsid w:val="00823B83"/>
    <w:rsid w:val="00824ADA"/>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D4561"/>
    <w:rsid w:val="008D6339"/>
    <w:rsid w:val="008F1F57"/>
    <w:rsid w:val="008F2E20"/>
    <w:rsid w:val="008F351E"/>
    <w:rsid w:val="008F3BC4"/>
    <w:rsid w:val="008F63DD"/>
    <w:rsid w:val="009061A5"/>
    <w:rsid w:val="00911817"/>
    <w:rsid w:val="009141B2"/>
    <w:rsid w:val="00924533"/>
    <w:rsid w:val="00926346"/>
    <w:rsid w:val="009310F6"/>
    <w:rsid w:val="00943B58"/>
    <w:rsid w:val="00954734"/>
    <w:rsid w:val="009569C9"/>
    <w:rsid w:val="0096671B"/>
    <w:rsid w:val="00971BAA"/>
    <w:rsid w:val="00974953"/>
    <w:rsid w:val="009811A3"/>
    <w:rsid w:val="0098141E"/>
    <w:rsid w:val="00991AD2"/>
    <w:rsid w:val="0099394E"/>
    <w:rsid w:val="00995698"/>
    <w:rsid w:val="00995FFB"/>
    <w:rsid w:val="00996F1B"/>
    <w:rsid w:val="009A243E"/>
    <w:rsid w:val="009A3B58"/>
    <w:rsid w:val="009A42FF"/>
    <w:rsid w:val="009A7E71"/>
    <w:rsid w:val="009B7733"/>
    <w:rsid w:val="009C09C8"/>
    <w:rsid w:val="009D2611"/>
    <w:rsid w:val="009D47BE"/>
    <w:rsid w:val="009F200B"/>
    <w:rsid w:val="009F6DD7"/>
    <w:rsid w:val="00A06EE3"/>
    <w:rsid w:val="00A13222"/>
    <w:rsid w:val="00A16042"/>
    <w:rsid w:val="00A2028F"/>
    <w:rsid w:val="00A23B2E"/>
    <w:rsid w:val="00A25638"/>
    <w:rsid w:val="00A27C1D"/>
    <w:rsid w:val="00A35EAA"/>
    <w:rsid w:val="00A376BD"/>
    <w:rsid w:val="00A41315"/>
    <w:rsid w:val="00A432B3"/>
    <w:rsid w:val="00A43C6B"/>
    <w:rsid w:val="00A51AEB"/>
    <w:rsid w:val="00A526D8"/>
    <w:rsid w:val="00A65B9E"/>
    <w:rsid w:val="00A675AB"/>
    <w:rsid w:val="00A81B67"/>
    <w:rsid w:val="00A8295E"/>
    <w:rsid w:val="00A84A00"/>
    <w:rsid w:val="00A87AD2"/>
    <w:rsid w:val="00A916BA"/>
    <w:rsid w:val="00A961F3"/>
    <w:rsid w:val="00A97354"/>
    <w:rsid w:val="00AA0B3B"/>
    <w:rsid w:val="00AA51AE"/>
    <w:rsid w:val="00AC01C9"/>
    <w:rsid w:val="00AC1EA4"/>
    <w:rsid w:val="00AC321C"/>
    <w:rsid w:val="00AD2DD0"/>
    <w:rsid w:val="00AE50B6"/>
    <w:rsid w:val="00B00D64"/>
    <w:rsid w:val="00B00E85"/>
    <w:rsid w:val="00B0451A"/>
    <w:rsid w:val="00B0646F"/>
    <w:rsid w:val="00B11876"/>
    <w:rsid w:val="00B275AF"/>
    <w:rsid w:val="00B41437"/>
    <w:rsid w:val="00B5161D"/>
    <w:rsid w:val="00B56195"/>
    <w:rsid w:val="00B609A1"/>
    <w:rsid w:val="00B60B6B"/>
    <w:rsid w:val="00B60C44"/>
    <w:rsid w:val="00BA1A62"/>
    <w:rsid w:val="00BC0301"/>
    <w:rsid w:val="00BC3983"/>
    <w:rsid w:val="00BC6A34"/>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35F37"/>
    <w:rsid w:val="00C46499"/>
    <w:rsid w:val="00C47E2B"/>
    <w:rsid w:val="00C533CB"/>
    <w:rsid w:val="00C5342C"/>
    <w:rsid w:val="00C54F8A"/>
    <w:rsid w:val="00C558F3"/>
    <w:rsid w:val="00C56BC1"/>
    <w:rsid w:val="00C6068F"/>
    <w:rsid w:val="00C62307"/>
    <w:rsid w:val="00C62310"/>
    <w:rsid w:val="00C86511"/>
    <w:rsid w:val="00CA3D52"/>
    <w:rsid w:val="00CC0298"/>
    <w:rsid w:val="00CC24F3"/>
    <w:rsid w:val="00CE13E1"/>
    <w:rsid w:val="00D31A54"/>
    <w:rsid w:val="00D31D83"/>
    <w:rsid w:val="00D34A33"/>
    <w:rsid w:val="00D50E15"/>
    <w:rsid w:val="00D536B5"/>
    <w:rsid w:val="00D645DE"/>
    <w:rsid w:val="00D704CA"/>
    <w:rsid w:val="00D7570F"/>
    <w:rsid w:val="00D764F9"/>
    <w:rsid w:val="00D819B0"/>
    <w:rsid w:val="00D972A5"/>
    <w:rsid w:val="00DA231C"/>
    <w:rsid w:val="00DA233E"/>
    <w:rsid w:val="00DB040F"/>
    <w:rsid w:val="00DB2B8C"/>
    <w:rsid w:val="00DC1964"/>
    <w:rsid w:val="00DC32FB"/>
    <w:rsid w:val="00DD1F6E"/>
    <w:rsid w:val="00DE36FE"/>
    <w:rsid w:val="00DF0F68"/>
    <w:rsid w:val="00DF5821"/>
    <w:rsid w:val="00DF5F86"/>
    <w:rsid w:val="00E041B8"/>
    <w:rsid w:val="00E10E9B"/>
    <w:rsid w:val="00E136DE"/>
    <w:rsid w:val="00E16829"/>
    <w:rsid w:val="00E27F83"/>
    <w:rsid w:val="00E27FEA"/>
    <w:rsid w:val="00E40E6A"/>
    <w:rsid w:val="00E453DF"/>
    <w:rsid w:val="00E455F6"/>
    <w:rsid w:val="00E53165"/>
    <w:rsid w:val="00E62624"/>
    <w:rsid w:val="00E83DDD"/>
    <w:rsid w:val="00E86EE2"/>
    <w:rsid w:val="00EC4CBB"/>
    <w:rsid w:val="00ED3F47"/>
    <w:rsid w:val="00EE0D8D"/>
    <w:rsid w:val="00EE4B5E"/>
    <w:rsid w:val="00EE751B"/>
    <w:rsid w:val="00F13D06"/>
    <w:rsid w:val="00F26D72"/>
    <w:rsid w:val="00F26FBE"/>
    <w:rsid w:val="00F27C70"/>
    <w:rsid w:val="00F3225F"/>
    <w:rsid w:val="00F3468B"/>
    <w:rsid w:val="00F37643"/>
    <w:rsid w:val="00F40E49"/>
    <w:rsid w:val="00F5144F"/>
    <w:rsid w:val="00F519B7"/>
    <w:rsid w:val="00F51C62"/>
    <w:rsid w:val="00F55934"/>
    <w:rsid w:val="00F6692D"/>
    <w:rsid w:val="00F73C8F"/>
    <w:rsid w:val="00F76386"/>
    <w:rsid w:val="00F8377A"/>
    <w:rsid w:val="00F874C4"/>
    <w:rsid w:val="00FA13F6"/>
    <w:rsid w:val="00FA57FB"/>
    <w:rsid w:val="00FA6DD5"/>
    <w:rsid w:val="00FB19FA"/>
    <w:rsid w:val="00FB53CB"/>
    <w:rsid w:val="00FD2457"/>
    <w:rsid w:val="00FD353E"/>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10</cp:revision>
  <cp:lastPrinted>2025-01-27T11:52:00Z</cp:lastPrinted>
  <dcterms:created xsi:type="dcterms:W3CDTF">2023-02-24T16:08:00Z</dcterms:created>
  <dcterms:modified xsi:type="dcterms:W3CDTF">2025-01-27T11:52:00Z</dcterms:modified>
</cp:coreProperties>
</file>